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ПРАВИЛА ПАРТНЕРСКОЙ ПРОГРАММЫ BALANCE INTEGRA</w:t>
      </w:r>
    </w:p>
    <w:p>
      <w:pPr>
        <w:jc w:val="center"/>
      </w:pPr>
      <w:r>
        <w:rPr>
          <w:i/>
        </w:rPr>
        <w:t>начисления, лиды, выплаты, верификация и антифрод</w:t>
      </w:r>
    </w:p>
    <w:p>
      <w:pPr>
        <w:jc w:val="center"/>
      </w:pPr>
      <w:r>
        <w:t>Редакция от 06.07.2026</w:t>
      </w:r>
    </w:p>
    <w:p/>
    <w:p>
      <w:pPr>
        <w:pStyle w:val="Heading1"/>
      </w:pPr>
      <w:r>
        <w:t>1. Общие положения</w:t>
      </w:r>
    </w:p>
    <w:p>
      <w:r>
        <w:t>1.1. Настоящие Правила регулируют участие в Партнерской программе Balance Integra.</w:t>
      </w:r>
    </w:p>
    <w:p>
      <w:r>
        <w:t>1.2. Компания: ИП Родичева Майя Александровна, использующая бренд Balance Integra.</w:t>
      </w:r>
    </w:p>
    <w:p>
      <w:r>
        <w:t>1.3. Участником программы может быть только самозанятый или индивидуальный предприниматель, прошедший регистрацию и верификацию.</w:t>
      </w:r>
    </w:p>
    <w:p>
      <w:r>
        <w:t>1.4. Партнер не является сотрудником, представителем или агентом Компании в юридическом смысле без отдельного письменного полномочия.</w:t>
      </w:r>
    </w:p>
    <w:p>
      <w:pPr>
        <w:pStyle w:val="Heading1"/>
      </w:pPr>
      <w:r>
        <w:t>2. Регистрация и акцепт</w:t>
      </w:r>
    </w:p>
    <w:p>
      <w:r>
        <w:t>2.1. Для участия партнер создает аккаунт, указывает контактные данные и принимает Договор-оферту Партнерской программы, настоящие Правила и документы по персональным данным.</w:t>
      </w:r>
    </w:p>
    <w:p>
      <w:r>
        <w:t>2.2. До прохождения верификации выплаты недоступны. Компания вправе ограничить функциональность непроверенного аккаунта.</w:t>
      </w:r>
    </w:p>
    <w:p>
      <w:r>
        <w:t>2.3. Партнер подтверждает, что является дееспособным лицом, достигшим 18 лет, и действует в статусе самозанятого или индивидуального предпринимателя.</w:t>
      </w:r>
    </w:p>
    <w:p>
      <w:pPr>
        <w:pStyle w:val="Heading1"/>
      </w:pPr>
      <w:r>
        <w:t>3. Передача лидов</w:t>
      </w:r>
    </w:p>
    <w:p>
      <w:r>
        <w:t>3.1. Партнер передает потенциального клиента через кабинет, реферальный код, форму или иной согласованный канал.</w:t>
      </w:r>
    </w:p>
    <w:p>
      <w:r>
        <w:t>3.2. Лид должен содержать достоверные контактные данные и описание потребности клиента.</w:t>
      </w:r>
    </w:p>
    <w:p>
      <w:r>
        <w:t>3.3. Компания самостоятельно решает, принимать ли лид в работу, назначать менеджера, заключать договор и на каких условиях работать с клиентом.</w:t>
      </w:r>
    </w:p>
    <w:p>
      <w:pPr>
        <w:pStyle w:val="Heading1"/>
      </w:pPr>
      <w:r>
        <w:t>4. Расчетная база вознаграждения</w:t>
      </w:r>
    </w:p>
    <w:p>
      <w:r>
        <w:t>4.1. Вознаграждение рассчитывается только от суммы денежных средств, фактически поступивших Компании за собственную работу, услуги и сервисы Balance Integra.</w:t>
      </w:r>
    </w:p>
    <w:p>
      <w:r>
        <w:t>4.2. В расчетную базу не включаются оплаты сторонних сервисов, лицензий, тарифов, рекламных бюджетов, госпошлин, платежей внешним подрядчикам, банковских комиссий, возвратов, скидок и иных внешних расходов.</w:t>
      </w:r>
    </w:p>
    <w:p>
      <w:r>
        <w:t>4.3. Если клиент оплачивает Компании смешанный счет, включающий работы Компании и сторонние расходы, вознаграждение партнера рассчитывается только от части счета, относящейся к работам, услугам и сервисам Компании.</w:t>
      </w:r>
    </w:p>
    <w:p>
      <w:pPr>
        <w:pStyle w:val="Heading1"/>
      </w:pPr>
      <w:r>
        <w:t>5. Вознаграждение за приведенных клиентов</w:t>
      </w:r>
    </w:p>
    <w:p>
      <w:r>
        <w:t>5.1. Вознаграждение за привлеченных клиентов рассчитывается по накопительной шкале успешных оплаченных клиентов:</w:t>
      </w:r>
    </w:p>
    <w:p>
      <w:pPr>
        <w:pStyle w:val="ListBullet"/>
      </w:pPr>
      <w:r>
        <w:t>с 1-го по 10-го оплаченного приведенного клиента включительно — 10% от расчетной базы;</w:t>
      </w:r>
    </w:p>
    <w:p>
      <w:pPr>
        <w:pStyle w:val="ListBullet"/>
      </w:pPr>
      <w:r>
        <w:t>с 11-го по 15-го оплаченного приведенного клиента включительно — 15% от расчетной базы;</w:t>
      </w:r>
    </w:p>
    <w:p>
      <w:pPr>
        <w:pStyle w:val="ListBullet"/>
      </w:pPr>
      <w:r>
        <w:t>с 16-го оплаченного приведенного клиента и далее — 20% от расчетной базы, если Компания письменно не согласовала индивидуальные условия.</w:t>
      </w:r>
    </w:p>
    <w:p>
      <w:r>
        <w:t>5.2. В шкалу учитываются только клиенты, по которым выполнены условия начисления и отсутствуют основания для отказа.</w:t>
      </w:r>
    </w:p>
    <w:p>
      <w:pPr>
        <w:pStyle w:val="Heading1"/>
      </w:pPr>
      <w:r>
        <w:t>6. Вознаграждение за приведенных партнеров</w:t>
      </w:r>
    </w:p>
    <w:p>
      <w:r>
        <w:t>6.1. Компания может начислять партнеру дополнительное вознаграждение за приведенных партнеров.</w:t>
      </w:r>
    </w:p>
    <w:p>
      <w:r>
        <w:t>6.2. Вознаграждение за приведенного партнера не начисляется за сам факт регистрации партнера, вступительный взнос, покупку доступа или иное действие, не связанное с реальной оплатой клиентом работ, услуг и сервисов Компании.</w:t>
      </w:r>
    </w:p>
    <w:p>
      <w:r>
        <w:t>6.3. Вознаграждение рассчитывается только от расчетной базы по клиентам, которых привел такой партнер и по которым Компания получила оплату:</w:t>
      </w:r>
    </w:p>
    <w:p>
      <w:pPr>
        <w:pStyle w:val="ListBullet"/>
      </w:pPr>
      <w:r>
        <w:t>с 1-го по 10-го приведенного партнера включительно — 3% от расчетной базы по клиентам, приведенным такими партнерами;</w:t>
      </w:r>
    </w:p>
    <w:p>
      <w:pPr>
        <w:pStyle w:val="ListBullet"/>
      </w:pPr>
      <w:r>
        <w:t>начиная с 11-го приведенного партнера — 5% от расчетной базы по клиентам, приведенным такими партнерами.</w:t>
      </w:r>
    </w:p>
    <w:p>
      <w:r>
        <w:t>6.4. Партнерская программа не предусматривает обязательных взносов, покупок, инвестиций или гарантированного дохода. Вознаграждение связано только с фактически оплаченными клиентами и реальным вкладом в привлечение клиентов.</w:t>
      </w:r>
    </w:p>
    <w:p>
      <w:pPr>
        <w:pStyle w:val="Heading1"/>
      </w:pPr>
      <w:r>
        <w:t>7. Когда вознаграждение считается заработанным</w:t>
      </w:r>
    </w:p>
    <w:p>
      <w:pPr>
        <w:pStyle w:val="ListBullet"/>
      </w:pPr>
      <w:r>
        <w:t>клиент передан через допустимый канал;</w:t>
      </w:r>
    </w:p>
    <w:p>
      <w:pPr>
        <w:pStyle w:val="ListBullet"/>
      </w:pPr>
      <w:r>
        <w:t>клиент ранее не находился в базе Компании и не был закреплен за другим источником;</w:t>
      </w:r>
    </w:p>
    <w:p>
      <w:pPr>
        <w:pStyle w:val="ListBullet"/>
      </w:pPr>
      <w:r>
        <w:t>клиент заключил договор с Компанией;</w:t>
      </w:r>
    </w:p>
    <w:p>
      <w:pPr>
        <w:pStyle w:val="ListBullet"/>
      </w:pPr>
      <w:r>
        <w:t>клиент оплатил работы, услуги или сервисы Компании;</w:t>
      </w:r>
    </w:p>
    <w:p>
      <w:pPr>
        <w:pStyle w:val="ListBullet"/>
      </w:pPr>
      <w:r>
        <w:t>оплата не возвращена клиенту;</w:t>
      </w:r>
    </w:p>
    <w:p>
      <w:pPr>
        <w:pStyle w:val="ListBullet"/>
      </w:pPr>
      <w:r>
        <w:t>заявка не признана спорной, дублем или мошеннической.</w:t>
      </w:r>
    </w:p>
    <w:p>
      <w:pPr>
        <w:pStyle w:val="Heading1"/>
      </w:pPr>
      <w:r>
        <w:t>8. Когда начисление не производится</w:t>
      </w:r>
    </w:p>
    <w:p>
      <w:pPr>
        <w:pStyle w:val="ListBullet"/>
      </w:pPr>
      <w:r>
        <w:t>клиент уже был в базе Компании;</w:t>
      </w:r>
    </w:p>
    <w:p>
      <w:pPr>
        <w:pStyle w:val="ListBullet"/>
      </w:pPr>
      <w:r>
        <w:t>клиент пришел из рекламы, органического канала, действующей воронки или от другого партнера;</w:t>
      </w:r>
    </w:p>
    <w:p>
      <w:pPr>
        <w:pStyle w:val="ListBullet"/>
      </w:pPr>
      <w:r>
        <w:t>указаны недостоверные данные;</w:t>
      </w:r>
    </w:p>
    <w:p>
      <w:pPr>
        <w:pStyle w:val="ListBullet"/>
      </w:pPr>
      <w:r>
        <w:t>партнер ввел клиента в заблуждение;</w:t>
      </w:r>
    </w:p>
    <w:p>
      <w:pPr>
        <w:pStyle w:val="ListBullet"/>
      </w:pPr>
      <w:r>
        <w:t>партнер обещал условия, не подтвержденные Компанией;</w:t>
      </w:r>
    </w:p>
    <w:p>
      <w:pPr>
        <w:pStyle w:val="ListBullet"/>
      </w:pPr>
      <w:r>
        <w:t>заявка является дублем;</w:t>
      </w:r>
    </w:p>
    <w:p>
      <w:pPr>
        <w:pStyle w:val="ListBullet"/>
      </w:pPr>
      <w:r>
        <w:t>выявлены накрутки, подставные лиды, саморефералы или иные злоупотребления;</w:t>
      </w:r>
    </w:p>
    <w:p>
      <w:pPr>
        <w:pStyle w:val="ListBullet"/>
      </w:pPr>
      <w:r>
        <w:t>оплата относится к сторонним сервисам или внешним расходам, а не к работам, услугам и сервисам Компании.</w:t>
      </w:r>
    </w:p>
    <w:p>
      <w:pPr>
        <w:pStyle w:val="Heading1"/>
      </w:pPr>
      <w:r>
        <w:t>9. Баланс и выплаты</w:t>
      </w:r>
    </w:p>
    <w:p>
      <w:r>
        <w:t>9.1. В кабинете отображаются суммы: доступно, в обработке, выплачено.</w:t>
      </w:r>
    </w:p>
    <w:p>
      <w:r>
        <w:t>9.2. Для вывода партнер создает заявку. Заявка проходит ручную проверку менеджером и бухгалтерией.</w:t>
      </w:r>
    </w:p>
    <w:p>
      <w:r>
        <w:t>9.3. Статусы заявки: на проверке, в обработке, выплачено, отклонено, отменено.</w:t>
      </w:r>
    </w:p>
    <w:p>
      <w:r>
        <w:t>9.4. При отклонении заявки заблокированная сумма возвращается в доступный баланс, если не выявлено нарушение правил.</w:t>
      </w:r>
    </w:p>
    <w:p>
      <w:pPr>
        <w:pStyle w:val="Heading1"/>
      </w:pPr>
      <w:r>
        <w:t>10. Самозанятые и ИП</w:t>
      </w:r>
    </w:p>
    <w:p>
      <w:r>
        <w:t>10.1. Самозанятый партнер после выплаты обязан сформировать чек и передать его Компании.</w:t>
      </w:r>
    </w:p>
    <w:p>
      <w:r>
        <w:t>10.2. ИП предоставляет акт или иной закрывающий документ, если это требуется Компанией.</w:t>
      </w:r>
    </w:p>
    <w:p>
      <w:r>
        <w:t>10.3. Партнер самостоятельно отвечает за налоги, учет, корректность своего статуса и своевременное обновление реквизитов.</w:t>
      </w:r>
    </w:p>
    <w:p>
      <w:pPr>
        <w:pStyle w:val="Heading1"/>
      </w:pPr>
      <w:r>
        <w:t>11. Спорные ситуации и антифрод</w:t>
      </w:r>
    </w:p>
    <w:p>
      <w:r>
        <w:t>11.1. В спорных ситуациях приоритет имеет история действий в кабинете, время создания лида, переписка, данные CRM, сведения менеджера и иные подтверждающие материалы.</w:t>
      </w:r>
    </w:p>
    <w:p>
      <w:r>
        <w:t>11.2. Компания вправе приостановить начисления и выплаты на время проверки.</w:t>
      </w:r>
    </w:p>
    <w:p>
      <w:r>
        <w:t>11.3. При существенном нарушении правил аккаунт может быть заблокирован, а спорное вознаграждение не выплачено.</w:t>
      </w:r>
    </w:p>
    <w:p>
      <w:pPr>
        <w:pStyle w:val="Heading1"/>
      </w:pPr>
      <w:r>
        <w:t>12. Материалы и коммуникации</w:t>
      </w:r>
    </w:p>
    <w:p>
      <w:r>
        <w:t>12.1. Партнер может использовать предоставленные Компанией материалы только для продвижения продуктов Balance Integra.</w:t>
      </w:r>
    </w:p>
    <w:p>
      <w:r>
        <w:t>12.2. Запрещается искажать условия, использовать чужой бренд без разрешения, размещать недостоверную рекламу или обещать гарантированный результат от имени Компании.</w:t>
      </w:r>
    </w:p>
    <w:sectPr w:rsidR="00FC693F" w:rsidRPr="0006063C" w:rsidSect="00034616">
      <w:pgSz w:w="12240" w:h="15840"/>
      <w:pgMar w:top="1020" w:right="85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